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Чек-лист 152-ФЗ для сайта</w:t>
      </w:r>
    </w:p>
    <w:p>
      <w:pPr>
        <w:jc w:val="center"/>
      </w:pPr>
      <w:r>
        <w:rPr>
          <w:i/>
          <w:iCs/>
        </w:rPr>
        <w:t xml:space="preserve">Редакция 12.10.2026</w:t>
      </w:r>
    </w:p>
    <w:p>
      <w:r>
        <w:t xml:space="preserve">Сайт: [заполните]</w:t>
      </w:r>
    </w:p>
    <w:p>
      <w:r>
        <w:t xml:space="preserve">Дата проверки: [заполните]</w:t>
      </w:r>
    </w:p>
    <w:p>
      <w:r>
        <w:t xml:space="preserve">Отметка: ✓ — выполнено, ✗ — не выполнено, н/п — не применимо</w:t>
      </w:r>
    </w:p>
    <w:p>
      <w:pPr>
        <w:pStyle w:val="Heading1"/>
        <w:spacing w:before="240"/>
      </w:pPr>
      <w:r>
        <w:t xml:space="preserve">Пункты проверки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c>
          <w:p>
            <w:r>
              <w:rPr>
                <w:b/>
                <w:bCs/>
              </w:rPr>
              <w:t xml:space="preserve">№</w:t>
            </w:r>
          </w:p>
        </w:tc>
        <w:tc>
          <w:p>
            <w:r>
              <w:rPr>
                <w:b/>
                <w:bCs/>
              </w:rPr>
              <w:t xml:space="preserve">Раздел</w:t>
            </w:r>
          </w:p>
        </w:tc>
        <w:tc>
          <w:p>
            <w:r>
              <w:rPr>
                <w:b/>
                <w:bCs/>
              </w:rPr>
              <w:t xml:space="preserve">Требование</w:t>
            </w:r>
          </w:p>
        </w:tc>
        <w:tc>
          <w:p>
            <w:r>
              <w:rPr>
                <w:b/>
                <w:bCs/>
              </w:rPr>
              <w:t xml:space="preserve">Приоритет</w:t>
            </w:r>
          </w:p>
        </w:tc>
        <w:tc>
          <w:p>
            <w:r>
              <w:rPr>
                <w:b/>
                <w:bCs/>
              </w:rPr>
              <w:t xml:space="preserve">Отметка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</w:rPr>
              <w:t xml:space="preserve">Документы</w:t>
            </w:r>
          </w:p>
        </w:tc>
        <w:tc>
          <w:p>
            <w:r>
              <w:rPr>
                <w:b w:val="false"/>
                <w:bCs w:val="false"/>
              </w:rPr>
              <w:t xml:space="preserve">Политика обработки персональных данных опубликована на сайте и доступна со страниц, где собираются данные</w:t>
            </w:r>
          </w:p>
        </w:tc>
        <w:tc>
          <w:p>
            <w:r>
              <w:rPr>
                <w:b w:val="false"/>
                <w:bCs w:val="false"/>
              </w:rPr>
              <w:t xml:space="preserve">Высокий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</w:rPr>
              <w:t xml:space="preserve">Документы</w:t>
            </w:r>
          </w:p>
        </w:tc>
        <w:tc>
          <w:p>
            <w:r>
              <w:rPr>
                <w:b w:val="false"/>
                <w:bCs w:val="false"/>
              </w:rPr>
              <w:t xml:space="preserve">Согласие на обработку ПДн оформлено отдельным документом, а не пунктом политики, оферты или пользовательского соглашения</w:t>
            </w:r>
          </w:p>
        </w:tc>
        <w:tc>
          <w:p>
            <w:r>
              <w:rPr>
                <w:b w:val="false"/>
                <w:bCs w:val="false"/>
              </w:rPr>
              <w:t xml:space="preserve">Высокий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p>
            <w:r>
              <w:rPr>
                <w:b w:val="false"/>
                <w:bCs w:val="false"/>
              </w:rPr>
              <w:t xml:space="preserve">Документы</w:t>
            </w:r>
          </w:p>
        </w:tc>
        <w:tc>
          <w:p>
            <w:r>
              <w:rPr>
                <w:b w:val="false"/>
                <w:bCs w:val="false"/>
              </w:rPr>
              <w:t xml:space="preserve">В согласии указаны оператор, цели, перечень данных, действия с ними, срок и порядок отзыва</w:t>
            </w:r>
          </w:p>
        </w:tc>
        <w:tc>
          <w:p>
            <w:r>
              <w:rPr>
                <w:b w:val="false"/>
                <w:bCs w:val="false"/>
              </w:rPr>
              <w:t xml:space="preserve">Средний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</w:rPr>
              <w:t xml:space="preserve">Формы</w:t>
            </w:r>
          </w:p>
        </w:tc>
        <w:tc>
          <w:p>
            <w:r>
              <w:rPr>
                <w:b w:val="false"/>
                <w:bCs w:val="false"/>
              </w:rPr>
              <w:t xml:space="preserve">Галочка согласия не стоит заранее; форма не отправляется без неё</w:t>
            </w:r>
          </w:p>
        </w:tc>
        <w:tc>
          <w:p>
            <w:r>
              <w:rPr>
                <w:b w:val="false"/>
                <w:bCs w:val="false"/>
              </w:rPr>
              <w:t xml:space="preserve">Высокий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p>
            <w:r>
              <w:rPr>
                <w:b w:val="false"/>
                <w:bCs w:val="false"/>
              </w:rPr>
              <w:t xml:space="preserve">Формы</w:t>
            </w:r>
          </w:p>
        </w:tc>
        <w:tc>
          <w:p>
            <w:r>
              <w:rPr>
                <w:b w:val="false"/>
                <w:bCs w:val="false"/>
              </w:rPr>
              <w:t xml:space="preserve">Формы запрашивают только необходимые данные</w:t>
            </w:r>
          </w:p>
        </w:tc>
        <w:tc>
          <w:p>
            <w:r>
              <w:rPr>
                <w:b w:val="false"/>
                <w:bCs w:val="false"/>
              </w:rPr>
              <w:t xml:space="preserve">Средний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</w:rPr>
              <w:t xml:space="preserve">Формы</w:t>
            </w:r>
          </w:p>
        </w:tc>
        <w:tc>
          <w:p>
            <w:r>
              <w:rPr>
                <w:b w:val="false"/>
                <w:bCs w:val="false"/>
              </w:rPr>
              <w:t xml:space="preserve">Согласие на рекламные рассылки получается отдельно от согласия на обработку заявки</w:t>
            </w:r>
          </w:p>
        </w:tc>
        <w:tc>
          <w:p>
            <w:r>
              <w:rPr>
                <w:b w:val="false"/>
                <w:bCs w:val="false"/>
              </w:rPr>
              <w:t xml:space="preserve">Средний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p>
            <w:r>
              <w:rPr>
                <w:b w:val="false"/>
                <w:bCs w:val="false"/>
              </w:rPr>
              <w:t xml:space="preserve">Роскомнадзор</w:t>
            </w:r>
          </w:p>
        </w:tc>
        <w:tc>
          <w:p>
            <w:r>
              <w:rPr>
                <w:b w:val="false"/>
                <w:bCs w:val="false"/>
              </w:rPr>
              <w:t xml:space="preserve">Подано уведомление в Роскомнадзор о намерении осуществлять обработку ПДн, сведения в реестре актуальны</w:t>
            </w:r>
          </w:p>
        </w:tc>
        <w:tc>
          <w:p>
            <w:r>
              <w:rPr>
                <w:b w:val="false"/>
                <w:bCs w:val="false"/>
              </w:rPr>
              <w:t xml:space="preserve">Высокий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p>
            <w:r>
              <w:rPr>
                <w:b w:val="false"/>
                <w:bCs w:val="false"/>
              </w:rPr>
              <w:t xml:space="preserve">Роскомнадзор</w:t>
            </w:r>
          </w:p>
        </w:tc>
        <w:tc>
          <w:p>
            <w:r>
              <w:rPr>
                <w:b w:val="false"/>
                <w:bCs w:val="false"/>
              </w:rPr>
              <w:t xml:space="preserve">Если данные передаются за рубеж (иностранные сервисы аналитики, рассылок, CRM, хостинга), подано уведомление о трансграничной передаче</w:t>
            </w:r>
          </w:p>
        </w:tc>
        <w:tc>
          <w:p>
            <w:r>
              <w:rPr>
                <w:b w:val="false"/>
                <w:bCs w:val="false"/>
              </w:rPr>
              <w:t xml:space="preserve">Высокий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</w:rPr>
              <w:t xml:space="preserve">Хранение</w:t>
            </w:r>
          </w:p>
        </w:tc>
        <w:tc>
          <w:p>
            <w:r>
              <w:rPr>
                <w:b w:val="false"/>
                <w:bCs w:val="false"/>
              </w:rPr>
              <w:t xml:space="preserve">Базы данных с ПДн граждан РФ (сайт, CRM, почта, бэкапы) записываются и хранятся на серверах в России</w:t>
            </w:r>
          </w:p>
        </w:tc>
        <w:tc>
          <w:p>
            <w:r>
              <w:rPr>
                <w:b w:val="false"/>
                <w:bCs w:val="false"/>
              </w:rPr>
              <w:t xml:space="preserve">Высокий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</w:rPr>
              <w:t xml:space="preserve">Хранение</w:t>
            </w:r>
          </w:p>
        </w:tc>
        <w:tc>
          <w:p>
            <w:r>
              <w:rPr>
                <w:b w:val="false"/>
                <w:bCs w:val="false"/>
              </w:rPr>
              <w:t xml:space="preserve">С хостингом, CRM, колл-центром и другими обработчиками заключены договоры с поручением на обработку</w:t>
            </w:r>
          </w:p>
        </w:tc>
        <w:tc>
          <w:p>
            <w:r>
              <w:rPr>
                <w:b w:val="false"/>
                <w:bCs w:val="false"/>
              </w:rPr>
              <w:t xml:space="preserve">Средний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11</w:t>
            </w:r>
          </w:p>
        </w:tc>
        <w:tc>
          <w:p>
            <w:r>
              <w:rPr>
                <w:b w:val="false"/>
                <w:bCs w:val="false"/>
              </w:rPr>
              <w:t xml:space="preserve">Хранение</w:t>
            </w:r>
          </w:p>
        </w:tc>
        <w:tc>
          <w:p>
            <w:r>
              <w:rPr>
                <w:b w:val="false"/>
                <w:bCs w:val="false"/>
              </w:rPr>
              <w:t xml:space="preserve">Определены сроки хранения; данные удаляются по достижении целей или при отзыве согласия</w:t>
            </w:r>
          </w:p>
        </w:tc>
        <w:tc>
          <w:p>
            <w:r>
              <w:rPr>
                <w:b w:val="false"/>
                <w:bCs w:val="false"/>
              </w:rPr>
              <w:t xml:space="preserve">Средний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</w:rPr>
              <w:t xml:space="preserve">Cookie и аналитика</w:t>
            </w:r>
          </w:p>
        </w:tc>
        <w:tc>
          <w:p>
            <w:r>
              <w:rPr>
                <w:b w:val="false"/>
                <w:bCs w:val="false"/>
              </w:rPr>
              <w:t xml:space="preserve">Баннер cookie информирует о сборе данных и даёт выбор; счётчики аналитики включаются по согласию</w:t>
            </w:r>
          </w:p>
        </w:tc>
        <w:tc>
          <w:p>
            <w:r>
              <w:rPr>
                <w:b w:val="false"/>
                <w:bCs w:val="false"/>
              </w:rPr>
              <w:t xml:space="preserve">Средний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13</w:t>
            </w:r>
          </w:p>
        </w:tc>
        <w:tc>
          <w:p>
            <w:r>
              <w:rPr>
                <w:b w:val="false"/>
                <w:bCs w:val="false"/>
              </w:rPr>
              <w:t xml:space="preserve">Cookie и аналитика</w:t>
            </w:r>
          </w:p>
        </w:tc>
        <w:tc>
          <w:p>
            <w:r>
              <w:rPr>
                <w:b w:val="false"/>
                <w:bCs w:val="false"/>
              </w:rPr>
              <w:t xml:space="preserve">Запись сессий (Вебвизор и аналоги) не сохраняет содержимое полей с персональными данными</w:t>
            </w:r>
          </w:p>
        </w:tc>
        <w:tc>
          <w:p>
            <w:r>
              <w:rPr>
                <w:b w:val="false"/>
                <w:bCs w:val="false"/>
              </w:rPr>
              <w:t xml:space="preserve">Средний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</w:rPr>
              <w:t xml:space="preserve">Безопасность</w:t>
            </w:r>
          </w:p>
        </w:tc>
        <w:tc>
          <w:p>
            <w:r>
              <w:rPr>
                <w:b w:val="false"/>
                <w:bCs w:val="false"/>
              </w:rPr>
              <w:t xml:space="preserve">Сайт работает только по HTTPS, включая формы и админку</w:t>
            </w:r>
          </w:p>
        </w:tc>
        <w:tc>
          <w:p>
            <w:r>
              <w:rPr>
                <w:b w:val="false"/>
                <w:bCs w:val="false"/>
              </w:rPr>
              <w:t xml:space="preserve">Высокий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15</w:t>
            </w:r>
          </w:p>
        </w:tc>
        <w:tc>
          <w:p>
            <w:r>
              <w:rPr>
                <w:b w:val="false"/>
                <w:bCs w:val="false"/>
              </w:rPr>
              <w:t xml:space="preserve">Безопасность</w:t>
            </w:r>
          </w:p>
        </w:tc>
        <w:tc>
          <w:p>
            <w:r>
              <w:rPr>
                <w:b w:val="false"/>
                <w:bCs w:val="false"/>
              </w:rPr>
              <w:t xml:space="preserve">Доступ к админке и CRM — персональные учётные записи с двухфакторной аутентификацией</w:t>
            </w:r>
          </w:p>
        </w:tc>
        <w:tc>
          <w:p>
            <w:r>
              <w:rPr>
                <w:b w:val="false"/>
                <w:bCs w:val="false"/>
              </w:rPr>
              <w:t xml:space="preserve">Средний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16</w:t>
            </w:r>
          </w:p>
        </w:tc>
        <w:tc>
          <w:p>
            <w:r>
              <w:rPr>
                <w:b w:val="false"/>
                <w:bCs w:val="false"/>
              </w:rPr>
              <w:t xml:space="preserve">Безопасность</w:t>
            </w:r>
          </w:p>
        </w:tc>
        <w:tc>
          <w:p>
            <w:r>
              <w:rPr>
                <w:b w:val="false"/>
                <w:bCs w:val="false"/>
              </w:rPr>
              <w:t xml:space="preserve">Резервные копии с ПДн шифруются, хранятся в РФ и проверяются восстановлением</w:t>
            </w:r>
          </w:p>
        </w:tc>
        <w:tc>
          <w:p>
            <w:r>
              <w:rPr>
                <w:b w:val="false"/>
                <w:bCs w:val="false"/>
              </w:rPr>
              <w:t xml:space="preserve">Средний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17</w:t>
            </w:r>
          </w:p>
        </w:tc>
        <w:tc>
          <w:p>
            <w:r>
              <w:rPr>
                <w:b w:val="false"/>
                <w:bCs w:val="false"/>
              </w:rPr>
              <w:t xml:space="preserve">Безопасность</w:t>
            </w:r>
          </w:p>
        </w:tc>
        <w:tc>
          <w:p>
            <w:r>
              <w:rPr>
                <w:b w:val="false"/>
                <w:bCs w:val="false"/>
              </w:rPr>
              <w:t xml:space="preserve">Определён уровень защищённости ИСПДн и выбраны меры защиты</w:t>
            </w:r>
          </w:p>
        </w:tc>
        <w:tc>
          <w:p>
            <w:r>
              <w:rPr>
                <w:b w:val="false"/>
                <w:bCs w:val="false"/>
              </w:rPr>
              <w:t xml:space="preserve">Средний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</w:rPr>
              <w:t xml:space="preserve">Инциденты</w:t>
            </w:r>
          </w:p>
        </w:tc>
        <w:tc>
          <w:p>
            <w:r>
              <w:rPr>
                <w:b w:val="false"/>
                <w:bCs w:val="false"/>
              </w:rPr>
              <w:t xml:space="preserve">Есть порядок реагирования на утечку: уведомление Роскомнадзора в течение 24 часов и результаты расследования — в течение 72 часов</w:t>
            </w:r>
          </w:p>
        </w:tc>
        <w:tc>
          <w:p>
            <w:r>
              <w:rPr>
                <w:b w:val="false"/>
                <w:bCs w:val="false"/>
              </w:rPr>
              <w:t xml:space="preserve">Высокий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19</w:t>
            </w:r>
          </w:p>
        </w:tc>
        <w:tc>
          <w:p>
            <w:r>
              <w:rPr>
                <w:b w:val="false"/>
                <w:bCs w:val="false"/>
              </w:rPr>
              <w:t xml:space="preserve">Права субъектов</w:t>
            </w:r>
          </w:p>
        </w:tc>
        <w:tc>
          <w:p>
            <w:r>
              <w:rPr>
                <w:b w:val="false"/>
                <w:bCs w:val="false"/>
              </w:rPr>
              <w:t xml:space="preserve">Есть канал для запросов субъектов, ответы даются в течение 10 рабочих дней</w:t>
            </w:r>
          </w:p>
        </w:tc>
        <w:tc>
          <w:p>
            <w:r>
              <w:rPr>
                <w:b w:val="false"/>
                <w:bCs w:val="false"/>
              </w:rPr>
              <w:t xml:space="preserve">Средний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20</w:t>
            </w:r>
          </w:p>
        </w:tc>
        <w:tc>
          <w:p>
            <w:r>
              <w:rPr>
                <w:b w:val="false"/>
                <w:bCs w:val="false"/>
              </w:rPr>
              <w:t xml:space="preserve">Организация</w:t>
            </w:r>
          </w:p>
        </w:tc>
        <w:tc>
          <w:p>
            <w:r>
              <w:rPr>
                <w:b w:val="false"/>
                <w:bCs w:val="false"/>
              </w:rPr>
              <w:t xml:space="preserve">Назначен ответственный за организацию обработки персональных данных</w:t>
            </w:r>
          </w:p>
        </w:tc>
        <w:tc>
          <w:p>
            <w:r>
              <w:rPr>
                <w:b w:val="false"/>
                <w:bCs w:val="false"/>
              </w:rPr>
              <w:t xml:space="preserve">Средний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21</w:t>
            </w:r>
          </w:p>
        </w:tc>
        <w:tc>
          <w:p>
            <w:r>
              <w:rPr>
                <w:b w:val="false"/>
                <w:bCs w:val="false"/>
              </w:rPr>
              <w:t xml:space="preserve">Организация</w:t>
            </w:r>
          </w:p>
        </w:tc>
        <w:tc>
          <w:p>
            <w:r>
              <w:rPr>
                <w:b w:val="false"/>
                <w:bCs w:val="false"/>
              </w:rPr>
              <w:t xml:space="preserve">Изданы локальные акты: положение об обработке ПДн, перечень обрабатываемых данных, допуск сотрудников</w:t>
            </w:r>
          </w:p>
        </w:tc>
        <w:tc>
          <w:p>
            <w:r>
              <w:rPr>
                <w:b w:val="false"/>
                <w:bCs w:val="false"/>
              </w:rPr>
              <w:t xml:space="preserve">Средний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22</w:t>
            </w:r>
          </w:p>
        </w:tc>
        <w:tc>
          <w:p>
            <w:r>
              <w:rPr>
                <w:b w:val="false"/>
                <w:bCs w:val="false"/>
              </w:rPr>
              <w:t xml:space="preserve">Организация</w:t>
            </w:r>
          </w:p>
        </w:tc>
        <w:tc>
          <w:p>
            <w:r>
              <w:rPr>
                <w:b w:val="false"/>
                <w:bCs w:val="false"/>
              </w:rPr>
              <w:t xml:space="preserve">Проведена и оформлена оценка вреда, который может быть причинён субъектам</w:t>
            </w:r>
          </w:p>
        </w:tc>
        <w:tc>
          <w:p>
            <w:r>
              <w:rPr>
                <w:b w:val="false"/>
                <w:bCs w:val="false"/>
              </w:rPr>
              <w:t xml:space="preserve">Низкий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23</w:t>
            </w:r>
          </w:p>
        </w:tc>
        <w:tc>
          <w:p>
            <w:r>
              <w:rPr>
                <w:b w:val="false"/>
                <w:bCs w:val="false"/>
              </w:rPr>
              <w:t xml:space="preserve">Организация</w:t>
            </w:r>
          </w:p>
        </w:tc>
        <w:tc>
          <w:p>
            <w:r>
              <w:rPr>
                <w:b w:val="false"/>
                <w:bCs w:val="false"/>
              </w:rPr>
              <w:t xml:space="preserve">Сотрудники, работающие с ПДн, ознакомлены с политикой и локальными актами под подпись</w:t>
            </w:r>
          </w:p>
        </w:tc>
        <w:tc>
          <w:p>
            <w:r>
              <w:rPr>
                <w:b w:val="false"/>
                <w:bCs w:val="false"/>
              </w:rPr>
              <w:t xml:space="preserve">Низкий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1"/>
        <w:spacing w:before="240"/>
      </w:pPr>
      <w:r>
        <w:t xml:space="preserve">Пояснения к пунктам</w:t>
      </w:r>
    </w:p>
    <w:p>
      <w:r>
        <w:t xml:space="preserve">1. Политика обработки персональных данных опубликована на сайте и доступна со страниц, где собираются данные — Оператор обязан обеспечить неограниченный доступ к политике; при сборе данных через сайт — опубликовать её там (ст. 18.1 152-ФЗ).</w:t>
      </w:r>
    </w:p>
    <w:p>
      <w:r>
        <w:t xml:space="preserve">2. Согласие на обработку ПДн оформлено отдельным документом, а не пунктом политики, оферты или пользовательского соглашения — С 1 сентября 2025 года согласие должно оформляться отдельно от иных документов, которые подтверждает субъект.</w:t>
      </w:r>
    </w:p>
    <w:p>
      <w:r>
        <w:t xml:space="preserve">3. В согласии указаны оператор, цели, перечень данных, действия с ними, срок и порядок отзыва — Согласие должно быть конкретным, предметным, информированным и сознательным (ст. 9).</w:t>
      </w:r>
    </w:p>
    <w:p>
      <w:r>
        <w:t xml:space="preserve">4. Галочка согласия не стоит заранее; форма не отправляется без неё — Предустановленная галочка не подтверждает сознательного согласия.</w:t>
      </w:r>
    </w:p>
    <w:p>
      <w:r>
        <w:t xml:space="preserve">5. Формы запрашивают только необходимые данные — Объём данных должен соответствовать целям обработки — лишнее поле означает лишний риск и вопросы проверяющих.</w:t>
      </w:r>
    </w:p>
    <w:p>
      <w:r>
        <w:t xml:space="preserve">6. Согласие на рекламные рассылки получается отдельно от согласия на обработку заявки — Реклама по сетям электросвязи допускается только с предварительного согласия абонента (ст. 18 закона «О рекламе»).</w:t>
      </w:r>
    </w:p>
    <w:p>
      <w:r>
        <w:t xml:space="preserve">7. Подано уведомление в Роскомнадзор о намерении осуществлять обработку ПДн, сведения в реестре актуальны — Уведомление подаётся до начала обработки; при изменении сведений — обновляется (ст. 22).</w:t>
      </w:r>
    </w:p>
    <w:p>
      <w:r>
        <w:t xml:space="preserve">8. Если данные передаются за рубеж (иностранные сервисы аналитики, рассылок, CRM, хостинга), подано уведомление о трансграничной передаче — С 1 марта 2023 года оператор обязан уведомить Роскомнадзор до начала трансграничной передачи (ст. 12).</w:t>
      </w:r>
    </w:p>
    <w:p>
      <w:r>
        <w:t xml:space="preserve">9. Базы данных с ПДн граждан РФ (сайт, CRM, почта, бэкапы) записываются и хранятся на серверах в России — Запись, систематизация, накопление и хранение ПДн граждан РФ — с использованием баз данных в РФ (ч. 5 ст. 18).</w:t>
      </w:r>
    </w:p>
    <w:p>
      <w:r>
        <w:t xml:space="preserve">10. С хостингом, CRM, колл-центром и другими обработчиками заключены договоры с поручением на обработку — Поручение должно содержать перечень действий, цели и требования к защите (ч. 3 ст. 6).</w:t>
      </w:r>
    </w:p>
    <w:p>
      <w:r>
        <w:t xml:space="preserve">11. Определены сроки хранения; данные удаляются по достижении целей или при отзыве согласия — Хранить данные дольше, чем требуют цели, нельзя; удаление нужно подтверждать актом.</w:t>
      </w:r>
    </w:p>
    <w:p>
      <w:r>
        <w:t xml:space="preserve">12. Баннер cookie информирует о сборе данных и даёт выбор; счётчики аналитики включаются по согласию — Идентификаторы и данные аналитики в связке с другими сведениями могут считаться ПДн; практика регулятора развивается — безопаснее получать согласие.</w:t>
      </w:r>
    </w:p>
    <w:p>
      <w:r>
        <w:t xml:space="preserve">13. Запись сессий (Вебвизор и аналоги) не сохраняет содержимое полей с персональными данными — Иначе данные из форм оказываются у сервиса аналитики без отдельного основания.</w:t>
      </w:r>
    </w:p>
    <w:p>
      <w:r>
        <w:t xml:space="preserve">14. Сайт работает только по HTTPS, включая формы и админку — Передача данных без шифрования — базовая уязвимость.</w:t>
      </w:r>
    </w:p>
    <w:p>
      <w:r>
        <w:t xml:space="preserve">15. Доступ к админке и CRM — персональные учётные записи с двухфакторной аутентификацией — Разграничение доступа и учёт действий — обязательные меры защиты (ст. 19).</w:t>
      </w:r>
    </w:p>
    <w:p>
      <w:r>
        <w:t xml:space="preserve">16. Резервные копии с ПДн шифруются, хранятся в РФ и проверяются восстановлением — Бэкап — та же база данных: на него распространяются требования локализации и защиты.</w:t>
      </w:r>
    </w:p>
    <w:p>
      <w:r>
        <w:t xml:space="preserve">17. Определён уровень защищённости ИСПДн и выбраны меры защиты — Требования к защите установлены постановлением Правительства № 1119 и приказом ФСТЭК № 21.</w:t>
      </w:r>
    </w:p>
    <w:p>
      <w:r>
        <w:t xml:space="preserve">18. Есть порядок реагирования на утечку: уведомление Роскомнадзора в течение 24 часов и результаты расследования — в течение 72 часов — Сроки уведомления установлены ч. 3.1 ст. 21 152-ФЗ; за утечки с 30.05.2025 действуют повышенные штрафы.</w:t>
      </w:r>
    </w:p>
    <w:p>
      <w:r>
        <w:t xml:space="preserve">19. Есть канал для запросов субъектов, ответы даются в течение 10 рабочих дней — Срок ответа на запрос субъекта — 10 рабочих дней, может быть продлён на 5 с уведомлением (ст. 14, 20).</w:t>
      </w:r>
    </w:p>
    <w:p>
      <w:r>
        <w:t xml:space="preserve">20. Назначен ответственный за организацию обработки персональных данных — Для юрлиц-операторов обязательно (ст. 22.1).</w:t>
      </w:r>
    </w:p>
    <w:p>
      <w:r>
        <w:t xml:space="preserve">21. Изданы локальные акты: положение об обработке ПДн, перечень обрабатываемых данных, допуск сотрудников — Документы, определяющие политику и процедуры, обязательны (ст. 18.1).</w:t>
      </w:r>
    </w:p>
    <w:p>
      <w:r>
        <w:t xml:space="preserve">22. Проведена и оформлена оценка вреда, который может быть причинён субъектам — Требование ст. 18.1; порядок утверждён приказом Роскомнадзора.</w:t>
      </w:r>
    </w:p>
    <w:p>
      <w:r>
        <w:t xml:space="preserve">23. Сотрудники, работающие с ПДн, ознакомлены с политикой и локальными актами под подпись — Ознакомление работников — часть обязательных организационных мер.</w:t>
      </w:r>
    </w:p>
    <w:p>
      <w:pPr>
        <w:spacing w:before="360"/>
      </w:pPr>
      <w:r>
        <w:rPr>
          <w:i/>
          <w:iCs/>
          <w:sz w:val="18"/>
          <w:szCs w:val="18"/>
        </w:rPr>
        <w:t xml:space="preserve">Онлайн-версия с расчётом готовности: levitsky-c.ru/instrumenty/chek-list-152-fz. Не является юридической консультацией: итоговый перечень мер согласуйте с юристом.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152-ФЗ для сайта</dc:title>
  <dc:creator>levitsky-c.ru</dc:creator>
  <cp:lastModifiedBy>Un-named</cp:lastModifiedBy>
  <cp:revision>1</cp:revision>
  <dcterms:created xsi:type="dcterms:W3CDTF">2026-10-12T19:14:42.559Z</dcterms:created>
  <dcterms:modified xsi:type="dcterms:W3CDTF">2026-10-12T19:14:42.559Z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