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Политика в отношении обработки персональных данных</w:t>
      </w:r>
    </w:p>
    <w:p>
      <w:pPr>
        <w:jc w:val="center"/>
      </w:pPr>
      <w:r>
        <w:rPr>
          <w:i/>
          <w:iCs/>
        </w:rPr>
        <w:t xml:space="preserve">[заполните: наименование оператора]</w:t>
      </w:r>
    </w:p>
    <w:p>
      <w:r>
        <w:t xml:space="preserve">Редакция от 12.10.2026</w:t>
      </w:r>
    </w:p>
    <w:p>
      <w:pPr>
        <w:pStyle w:val="Heading1"/>
        <w:spacing w:before="240"/>
      </w:pPr>
      <w:r>
        <w:t xml:space="preserve">1. Общие положения</w:t>
      </w:r>
    </w:p>
    <w:p>
      <w:pPr>
        <w:spacing w:after="120"/>
      </w:pPr>
      <w:r>
        <w:t xml:space="preserve">1.1. Настоящая Политика определяет порядок обработки и меры по обеспечению безопасности персональных данных, которые [заполните: наименование оператора] (ИНН [заполните: ИНН], ОГРН [заполните: ОГРН], адрес: [заполните: адрес]; далее — Оператор) получает от пользователей сайта [заполните: адрес сайта].</w:t>
      </w:r>
    </w:p>
    <w:p>
      <w:pPr>
        <w:spacing w:after="120"/>
      </w:pPr>
      <w:r>
        <w:t xml:space="preserve">1.2. Политика разработана в соответствии с Федеральным законом от 27.07.2006 № 152-ФЗ «О персональных данных» и опубликована для неограниченного доступа.</w:t>
      </w:r>
    </w:p>
    <w:p>
      <w:pPr>
        <w:spacing w:after="120"/>
      </w:pPr>
      <w:r>
        <w:t xml:space="preserve">1.3. Основные понятия используются в значении, установленном Федеральным законом № 152-ФЗ.</w:t>
      </w:r>
    </w:p>
    <w:p>
      <w:pPr>
        <w:pStyle w:val="Heading1"/>
        <w:spacing w:before="240"/>
      </w:pPr>
      <w:r>
        <w:t xml:space="preserve">2. Какие персональные данные обрабатываются</w:t>
      </w:r>
    </w:p>
    <w:p>
      <w:pPr>
        <w:pStyle w:val="ListParagraph"/>
        <w:numPr>
          <w:ilvl w:val="0"/>
          <w:numId w:val="1"/>
        </w:numPr>
      </w:pPr>
      <w:r>
        <w:t xml:space="preserve">Фамилия, имя, отчество</w:t>
      </w:r>
    </w:p>
    <w:p>
      <w:pPr>
        <w:pStyle w:val="ListParagraph"/>
        <w:numPr>
          <w:ilvl w:val="0"/>
          <w:numId w:val="1"/>
        </w:numPr>
      </w:pPr>
      <w:r>
        <w:t xml:space="preserve">Номер телефона</w:t>
      </w:r>
    </w:p>
    <w:p>
      <w:pPr>
        <w:pStyle w:val="ListParagraph"/>
        <w:numPr>
          <w:ilvl w:val="0"/>
          <w:numId w:val="1"/>
        </w:numPr>
      </w:pPr>
      <w:r>
        <w:t xml:space="preserve">Адрес электронной почты</w:t>
      </w:r>
    </w:p>
    <w:p>
      <w:pPr>
        <w:pStyle w:val="ListParagraph"/>
        <w:numPr>
          <w:ilvl w:val="0"/>
          <w:numId w:val="1"/>
        </w:numPr>
      </w:pPr>
      <w:r>
        <w:t xml:space="preserve">Содержание обращений и переписки</w:t>
      </w:r>
    </w:p>
    <w:p>
      <w:pPr>
        <w:pStyle w:val="ListParagraph"/>
        <w:numPr>
          <w:ilvl w:val="0"/>
          <w:numId w:val="1"/>
        </w:numPr>
      </w:pPr>
      <w:r>
        <w:t xml:space="preserve">Cookie, IP-адрес, сведения об устройстве и действиях на сайте</w:t>
      </w:r>
    </w:p>
    <w:p>
      <w:pPr>
        <w:pStyle w:val="Heading1"/>
        <w:spacing w:before="240"/>
      </w:pPr>
      <w:r>
        <w:t xml:space="preserve">3. Цели обработки</w:t>
      </w:r>
    </w:p>
    <w:p>
      <w:pPr>
        <w:pStyle w:val="ListParagraph"/>
        <w:numPr>
          <w:ilvl w:val="0"/>
          <w:numId w:val="1"/>
        </w:numPr>
      </w:pPr>
      <w:r>
        <w:t xml:space="preserve">Обработка заявок и обратная связь</w:t>
      </w:r>
    </w:p>
    <w:p>
      <w:pPr>
        <w:pStyle w:val="ListParagraph"/>
        <w:numPr>
          <w:ilvl w:val="0"/>
          <w:numId w:val="1"/>
        </w:numPr>
      </w:pPr>
      <w:r>
        <w:t xml:space="preserve">Заключение и исполнение договоров</w:t>
      </w:r>
    </w:p>
    <w:p>
      <w:pPr>
        <w:pStyle w:val="ListParagraph"/>
        <w:numPr>
          <w:ilvl w:val="0"/>
          <w:numId w:val="1"/>
        </w:numPr>
      </w:pPr>
      <w:r>
        <w:t xml:space="preserve">Анализ посещаемости и улучшение сайта</w:t>
      </w:r>
    </w:p>
    <w:p>
      <w:pPr>
        <w:pStyle w:val="Heading1"/>
        <w:spacing w:before="240"/>
      </w:pPr>
      <w:r>
        <w:t xml:space="preserve">4. Правовые основания</w:t>
      </w:r>
    </w:p>
    <w:p>
      <w:pPr>
        <w:pStyle w:val="ListParagraph"/>
        <w:numPr>
          <w:ilvl w:val="0"/>
          <w:numId w:val="1"/>
        </w:numPr>
      </w:pPr>
      <w:r>
        <w:t xml:space="preserve">Согласие субъекта на обработку персональных данных, оформляемое отдельным документом.</w:t>
      </w:r>
    </w:p>
    <w:p>
      <w:pPr>
        <w:pStyle w:val="ListParagraph"/>
        <w:numPr>
          <w:ilvl w:val="0"/>
          <w:numId w:val="1"/>
        </w:numPr>
      </w:pPr>
      <w:r>
        <w:t xml:space="preserve">Необходимость исполнения договора, стороной которого является субъект, или заключения договора по его инициативе.</w:t>
      </w:r>
    </w:p>
    <w:p>
      <w:pPr>
        <w:pStyle w:val="ListParagraph"/>
        <w:numPr>
          <w:ilvl w:val="0"/>
          <w:numId w:val="1"/>
        </w:numPr>
      </w:pPr>
      <w:r>
        <w:t xml:space="preserve">Исполнение обязанностей, возложенных на Оператора законодательством Российской Федерации.</w:t>
      </w:r>
    </w:p>
    <w:p>
      <w:pPr>
        <w:pStyle w:val="Heading1"/>
        <w:spacing w:before="240"/>
      </w:pPr>
      <w:r>
        <w:t xml:space="preserve">5. Порядок и условия обработки</w:t>
      </w:r>
    </w:p>
    <w:p>
      <w:pPr>
        <w:pStyle w:val="ListParagraph"/>
        <w:numPr>
          <w:ilvl w:val="0"/>
          <w:numId w:val="1"/>
        </w:numPr>
      </w:pPr>
      <w:r>
        <w:t xml:space="preserve">Обработка включает сбор, запись, систематизацию, накопление, хранение, уточнение, извлечение, использование, передачу (предоставление, доступ) в случаях, предусмотренных Политикой, обезличивание, блокирование, удаление и уничтожение.</w:t>
      </w:r>
    </w:p>
    <w:p>
      <w:pPr>
        <w:pStyle w:val="ListParagraph"/>
        <w:numPr>
          <w:ilvl w:val="0"/>
          <w:numId w:val="1"/>
        </w:numPr>
      </w:pPr>
      <w:r>
        <w:t xml:space="preserve">Запись, систематизация, накопление, хранение, уточнение и извлечение персональных данных граждан РФ осуществляются с использованием баз данных, находящихся на территории Российской Федерации.</w:t>
      </w:r>
    </w:p>
    <w:p>
      <w:pPr>
        <w:pStyle w:val="ListParagraph"/>
        <w:numPr>
          <w:ilvl w:val="0"/>
          <w:numId w:val="1"/>
        </w:numPr>
      </w:pPr>
      <w:r>
        <w:t xml:space="preserve">Срок обработки и хранения: до достижения целей обработки или отзыва согласия, но не дольше 3 лет с последнего обращения.</w:t>
      </w:r>
    </w:p>
    <w:p>
      <w:pPr>
        <w:pStyle w:val="ListParagraph"/>
        <w:numPr>
          <w:ilvl w:val="0"/>
          <w:numId w:val="1"/>
        </w:numPr>
      </w:pPr>
      <w:r>
        <w:t xml:space="preserve">По достижении целей обработки или при отзыве согласия данные уничтожаются в сроки, установленные законом, если иное не предусмотрено законом или договором.</w:t>
      </w:r>
    </w:p>
    <w:p>
      <w:pPr>
        <w:pStyle w:val="Heading1"/>
        <w:spacing w:before="240"/>
      </w:pPr>
      <w:r>
        <w:t xml:space="preserve">6. Передача третьим лицам</w:t>
      </w:r>
    </w:p>
    <w:p>
      <w:pPr>
        <w:spacing w:after="120"/>
      </w:pPr>
      <w:r>
        <w:t xml:space="preserve">Оператор вправе поручить обработку персональных данных третьим лицам на основании договора, содержащего требования, установленные ч. 3 ст. 6 Федерального закона № 152-ФЗ. Перечень лиц, которым поручена обработка:</w:t>
      </w:r>
    </w:p>
    <w:p>
      <w:pPr>
        <w:pStyle w:val="ListParagraph"/>
        <w:numPr>
          <w:ilvl w:val="0"/>
          <w:numId w:val="1"/>
        </w:numPr>
      </w:pPr>
      <w:r>
        <w:t xml:space="preserve">[заполните: хостинг-провайдер, CRM, службы доставки и др.]</w:t>
      </w:r>
    </w:p>
    <w:p>
      <w:pPr>
        <w:pStyle w:val="Heading1"/>
        <w:spacing w:before="240"/>
      </w:pPr>
      <w:r>
        <w:t xml:space="preserve">7. Трансграничная передача</w:t>
      </w:r>
    </w:p>
    <w:p>
      <w:pPr>
        <w:spacing w:after="120"/>
      </w:pPr>
      <w:r>
        <w:t xml:space="preserve">Трансграничная передача персональных данных не осуществляется.</w:t>
      </w:r>
    </w:p>
    <w:p>
      <w:pPr>
        <w:pStyle w:val="Heading1"/>
        <w:spacing w:before="240"/>
      </w:pPr>
      <w:r>
        <w:t xml:space="preserve">8. Файлы cookie и аналитика</w:t>
      </w:r>
    </w:p>
    <w:p>
      <w:pPr>
        <w:spacing w:after="120"/>
      </w:pPr>
      <w:r>
        <w:t xml:space="preserve">Сайт использует файлы cookie и сервисы веб-аналитики (Яндекс Метрика) для обеспечения работы сайта и анализа посещаемости. Необязательные cookie и аналитика применяются с согласия пользователя, которое можно изменить в настройках cookie на сайте или в браузере.</w:t>
      </w:r>
    </w:p>
    <w:p>
      <w:pPr>
        <w:pStyle w:val="Heading1"/>
        <w:spacing w:before="240"/>
      </w:pPr>
      <w:r>
        <w:t xml:space="preserve">9. Права субъекта персональных данных</w:t>
      </w:r>
    </w:p>
    <w:p>
      <w:pPr>
        <w:pStyle w:val="ListParagraph"/>
        <w:numPr>
          <w:ilvl w:val="0"/>
          <w:numId w:val="1"/>
        </w:numPr>
      </w:pPr>
      <w:r>
        <w:t xml:space="preserve">Получать сведения об обработке своих персональных данных.</w:t>
      </w:r>
    </w:p>
    <w:p>
      <w:pPr>
        <w:pStyle w:val="ListParagraph"/>
        <w:numPr>
          <w:ilvl w:val="0"/>
          <w:numId w:val="1"/>
        </w:numPr>
      </w:pPr>
      <w:r>
        <w:t xml:space="preserve">Требовать уточнения, блокирования или уничтожения данных, если они неполные, устаревшие, неточные, незаконно полученные или не являются необходимыми для заявленной цели.</w:t>
      </w:r>
    </w:p>
    <w:p>
      <w:pPr>
        <w:pStyle w:val="ListParagraph"/>
        <w:numPr>
          <w:ilvl w:val="0"/>
          <w:numId w:val="1"/>
        </w:numPr>
      </w:pPr>
      <w:r>
        <w:t xml:space="preserve">Отозвать согласие на обработку персональных данных.</w:t>
      </w:r>
    </w:p>
    <w:p>
      <w:pPr>
        <w:pStyle w:val="ListParagraph"/>
        <w:numPr>
          <w:ilvl w:val="0"/>
          <w:numId w:val="1"/>
        </w:numPr>
      </w:pPr>
      <w:r>
        <w:t xml:space="preserve">Обжаловать действия или бездействие Оператора в уполномоченном органе или в судебном порядке.</w:t>
      </w:r>
    </w:p>
    <w:p>
      <w:pPr>
        <w:pStyle w:val="ListParagraph"/>
        <w:numPr>
          <w:ilvl w:val="0"/>
          <w:numId w:val="1"/>
        </w:numPr>
      </w:pPr>
      <w:r>
        <w:t xml:space="preserve">Запросы направляются на [заполните: email]. Оператор отвечает в течение 10 рабочих дней с момента получения запроса; срок может быть продлён не более чем на 5 рабочих дней с направлением мотивированного уведомления.</w:t>
      </w:r>
    </w:p>
    <w:p>
      <w:pPr>
        <w:pStyle w:val="Heading1"/>
        <w:spacing w:before="240"/>
      </w:pPr>
      <w:r>
        <w:t xml:space="preserve">10. Меры по обеспечению безопасности</w:t>
      </w:r>
    </w:p>
    <w:p>
      <w:pPr>
        <w:pStyle w:val="ListParagraph"/>
        <w:numPr>
          <w:ilvl w:val="0"/>
          <w:numId w:val="1"/>
        </w:numPr>
      </w:pPr>
      <w:r>
        <w:t xml:space="preserve">Назначение ответственного за организацию обработки персональных данных.</w:t>
      </w:r>
    </w:p>
    <w:p>
      <w:pPr>
        <w:pStyle w:val="ListParagraph"/>
        <w:numPr>
          <w:ilvl w:val="0"/>
          <w:numId w:val="1"/>
        </w:numPr>
      </w:pPr>
      <w:r>
        <w:t xml:space="preserve">Издание локальных актов по вопросам обработки персональных данных.</w:t>
      </w:r>
    </w:p>
    <w:p>
      <w:pPr>
        <w:pStyle w:val="ListParagraph"/>
        <w:numPr>
          <w:ilvl w:val="0"/>
          <w:numId w:val="1"/>
        </w:numPr>
      </w:pPr>
      <w:r>
        <w:t xml:space="preserve">Применение правовых, организационных и технических мер защиты, в том числе шифрования каналов связи, разграничения доступа, резервного копирования.</w:t>
      </w:r>
    </w:p>
    <w:p>
      <w:pPr>
        <w:pStyle w:val="ListParagraph"/>
        <w:numPr>
          <w:ilvl w:val="0"/>
          <w:numId w:val="1"/>
        </w:numPr>
      </w:pPr>
      <w:r>
        <w:t xml:space="preserve">Обнаружение фактов несанкционированного доступа и реагирование на инциденты, включая уведомление уполномоченного органа в установленные сроки.</w:t>
      </w:r>
    </w:p>
    <w:p>
      <w:pPr>
        <w:pStyle w:val="Heading1"/>
        <w:spacing w:before="240"/>
      </w:pPr>
      <w:r>
        <w:t xml:space="preserve">11. Заключительные положения</w:t>
      </w:r>
    </w:p>
    <w:p>
      <w:pPr>
        <w:spacing w:after="120"/>
      </w:pPr>
      <w:r>
        <w:t xml:space="preserve">Оператор вправе вносить изменения в Политику. Новая редакция вступает в силу с момента публикации на сайте, если иное не предусмотрено новой редакцией.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Шаблон подготовлен в генераторе levitsky-c.ru/instrumenty/generator-politiki-konfidencialnosti. Не является юридической консультацией — перед публикацией проверьте текст у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персональных данных</dc:title>
  <dc:creator>levitsky-c.ru</dc:creator>
  <cp:lastModifiedBy>Un-named</cp:lastModifiedBy>
  <cp:revision>1</cp:revision>
  <dcterms:created xsi:type="dcterms:W3CDTF">2026-10-12T19:14:42.498Z</dcterms:created>
  <dcterms:modified xsi:type="dcterms:W3CDTF">2026-10-12T19:14:42.498Z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